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2022年运动场及篮球场照明设备安装  </w:t>
      </w:r>
      <w:r>
        <w:rPr>
          <w:rFonts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LNCJXYCG202204130X-0313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5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eastAsia="宋体" w:cs="Arial"/>
          <w:kern w:val="0"/>
          <w:sz w:val="24"/>
        </w:rPr>
      </w:pPr>
      <w:r>
        <w:rPr>
          <w:rFonts w:hint="eastAsia" w:ascii="宋体" w:hAnsi="宋体" w:eastAsia="宋体" w:cs="Lucida Sans Unicode"/>
          <w:sz w:val="24"/>
        </w:rPr>
        <w:t>辽宁城市建设职业技术学院现</w:t>
      </w:r>
      <w:r>
        <w:rPr>
          <w:rFonts w:hint="eastAsia" w:ascii="宋体" w:hAnsi="宋体" w:eastAsia="宋体" w:cs="Times New Roman"/>
          <w:color w:val="000000"/>
          <w:sz w:val="24"/>
        </w:rPr>
        <w:t>对</w:t>
      </w:r>
      <w:r>
        <w:rPr>
          <w:rFonts w:hint="eastAsia" w:ascii="宋体" w:hAnsi="宋体" w:eastAsia="宋体" w:cs="Lucida Sans Unicode"/>
          <w:sz w:val="24"/>
          <w:u w:val="single"/>
        </w:rPr>
        <w:t>2022年运动场及篮球场照明设备安装</w:t>
      </w:r>
      <w:r>
        <w:rPr>
          <w:rFonts w:hint="eastAsia" w:ascii="宋体" w:hAnsi="宋体" w:eastAsia="宋体" w:cs="Lucida Sans Unicode"/>
          <w:sz w:val="24"/>
        </w:rPr>
        <w:t>项目（</w:t>
      </w:r>
      <w:r>
        <w:rPr>
          <w:rFonts w:hint="eastAsia" w:ascii="宋体" w:hAnsi="宋体" w:eastAsia="宋体" w:cs="Times New Roman"/>
          <w:color w:val="000000"/>
          <w:sz w:val="24"/>
        </w:rPr>
        <w:t>招标项目编号：</w:t>
      </w:r>
      <w:r>
        <w:rPr>
          <w:rFonts w:hint="eastAsia" w:ascii="宋体" w:hAnsi="宋体" w:eastAsia="宋体" w:cs="Lucida Sans Unicode"/>
          <w:sz w:val="24"/>
          <w:u w:val="single"/>
        </w:rPr>
        <w:t>LNCJXYCG202204130X-0313</w:t>
      </w:r>
      <w:r>
        <w:rPr>
          <w:rFonts w:hint="eastAsia" w:ascii="宋体" w:hAnsi="宋体" w:eastAsia="宋体" w:cs="Times New Roman"/>
          <w:color w:val="000000"/>
          <w:sz w:val="24"/>
        </w:rPr>
        <w:t>）进行校内公开招标采购，现欢迎符合要求的投标人参加本次采购活动。</w:t>
      </w:r>
    </w:p>
    <w:p>
      <w:pPr>
        <w:widowControl/>
        <w:shd w:val="clear" w:color="auto" w:fill="FFFFFF"/>
        <w:spacing w:line="560" w:lineRule="atLeast"/>
        <w:ind w:firstLine="540"/>
        <w:jc w:val="left"/>
        <w:rPr>
          <w:rFonts w:ascii="Times New Roman" w:hAnsi="宋体" w:eastAsia="宋体" w:cs="Times New Roman"/>
          <w:sz w:val="24"/>
        </w:rPr>
      </w:pPr>
      <w:r>
        <w:rPr>
          <w:rFonts w:hint="eastAsia" w:ascii="宋体" w:hAnsi="宋体" w:eastAsia="宋体" w:cs="Arial"/>
          <w:b/>
          <w:bCs/>
          <w:kern w:val="0"/>
          <w:sz w:val="24"/>
        </w:rPr>
        <w:t>一、</w:t>
      </w:r>
      <w:r>
        <w:rPr>
          <w:rFonts w:hint="eastAsia" w:ascii="Times New Roman" w:hAnsi="宋体" w:eastAsia="宋体" w:cs="Times New Roman"/>
          <w:b/>
          <w:sz w:val="24"/>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包号</w:t>
            </w:r>
          </w:p>
        </w:tc>
        <w:tc>
          <w:tcPr>
            <w:tcW w:w="2126"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项目编号</w:t>
            </w:r>
          </w:p>
        </w:tc>
        <w:tc>
          <w:tcPr>
            <w:tcW w:w="2552"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工程内容</w:t>
            </w:r>
          </w:p>
        </w:tc>
        <w:tc>
          <w:tcPr>
            <w:tcW w:w="1276"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数量</w:t>
            </w:r>
          </w:p>
        </w:tc>
        <w:tc>
          <w:tcPr>
            <w:tcW w:w="2268" w:type="dxa"/>
            <w:vAlign w:val="center"/>
          </w:tcPr>
          <w:p>
            <w:pPr>
              <w:jc w:val="center"/>
              <w:rPr>
                <w:rFonts w:ascii="宋体" w:hAnsi="宋体" w:eastAsia="宋体" w:cs="Times New Roman"/>
                <w:color w:val="000000"/>
                <w:sz w:val="24"/>
              </w:rPr>
            </w:pPr>
            <w:r>
              <w:rPr>
                <w:rFonts w:hint="eastAsia" w:ascii="宋体" w:hAnsi="宋体" w:eastAsia="宋体" w:cs="Times New Roman"/>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eastAsia="宋体" w:cs="Times New Roman"/>
                <w:color w:val="000000"/>
                <w:sz w:val="24"/>
              </w:rPr>
            </w:pPr>
            <w:r>
              <w:rPr>
                <w:rFonts w:ascii="宋体" w:hAnsi="宋体" w:eastAsia="宋体" w:cs="Times New Roman"/>
                <w:color w:val="000000"/>
                <w:sz w:val="24"/>
              </w:rPr>
              <w:t>1</w:t>
            </w:r>
          </w:p>
        </w:tc>
        <w:tc>
          <w:tcPr>
            <w:tcW w:w="2126"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LNCJXYCG202204130X-0313</w:t>
            </w:r>
          </w:p>
        </w:tc>
        <w:tc>
          <w:tcPr>
            <w:tcW w:w="2552"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2022年运动场及篮球场照明设备安装</w:t>
            </w:r>
          </w:p>
        </w:tc>
        <w:tc>
          <w:tcPr>
            <w:tcW w:w="1276" w:type="dxa"/>
            <w:vAlign w:val="center"/>
          </w:tcPr>
          <w:p>
            <w:pPr>
              <w:widowControl/>
              <w:jc w:val="center"/>
              <w:textAlignment w:val="center"/>
              <w:rPr>
                <w:rFonts w:ascii="宋体" w:hAnsi="宋体" w:eastAsia="宋体" w:cs="Times New Roman"/>
                <w:color w:val="000000"/>
                <w:sz w:val="24"/>
              </w:rPr>
            </w:pPr>
            <w:r>
              <w:rPr>
                <w:rFonts w:ascii="宋体" w:hAnsi="宋体" w:eastAsia="宋体" w:cs="Times New Roman"/>
                <w:color w:val="000000"/>
                <w:sz w:val="24"/>
              </w:rPr>
              <w:t>1项</w:t>
            </w:r>
          </w:p>
        </w:tc>
        <w:tc>
          <w:tcPr>
            <w:tcW w:w="2268" w:type="dxa"/>
            <w:vAlign w:val="center"/>
          </w:tcPr>
          <w:p>
            <w:pPr>
              <w:widowControl/>
              <w:jc w:val="center"/>
              <w:textAlignment w:val="center"/>
              <w:rPr>
                <w:rFonts w:ascii="宋体" w:hAnsi="宋体" w:eastAsia="宋体" w:cs="Times New Roman"/>
                <w:color w:val="000000"/>
                <w:sz w:val="24"/>
              </w:rPr>
            </w:pPr>
            <w:r>
              <w:rPr>
                <w:rFonts w:hint="eastAsia" w:ascii="宋体" w:hAnsi="宋体" w:eastAsia="宋体" w:cs="Times New Roman"/>
                <w:color w:val="000000"/>
                <w:sz w:val="24"/>
              </w:rPr>
              <w:t>61000</w:t>
            </w:r>
            <w:r>
              <w:rPr>
                <w:rFonts w:ascii="宋体" w:hAnsi="宋体" w:eastAsia="宋体" w:cs="Times New Roman"/>
                <w:color w:val="000000"/>
                <w:sz w:val="24"/>
              </w:rPr>
              <w:t>.00</w:t>
            </w:r>
          </w:p>
        </w:tc>
      </w:tr>
    </w:tbl>
    <w:p>
      <w:pPr>
        <w:widowControl/>
        <w:shd w:val="clear" w:color="auto" w:fill="FFFFFF"/>
        <w:spacing w:line="560" w:lineRule="atLeast"/>
        <w:ind w:firstLine="720" w:firstLineChars="300"/>
        <w:jc w:val="left"/>
        <w:rPr>
          <w:rFonts w:ascii="宋体" w:hAnsi="宋体" w:eastAsia="宋体" w:cs="Arial"/>
          <w:kern w:val="0"/>
          <w:sz w:val="24"/>
        </w:rPr>
      </w:pPr>
      <w:r>
        <w:rPr>
          <w:rFonts w:hint="eastAsia" w:ascii="宋体" w:hAnsi="宋体" w:eastAsia="宋体" w:cs="宋体"/>
          <w:sz w:val="24"/>
        </w:rPr>
        <w:t>本项目共为</w:t>
      </w:r>
      <w:r>
        <w:rPr>
          <w:rFonts w:hint="eastAsia" w:ascii="宋体" w:hAnsi="宋体" w:eastAsia="宋体" w:cs="宋体"/>
          <w:sz w:val="24"/>
          <w:u w:val="single"/>
        </w:rPr>
        <w:t xml:space="preserve"> </w:t>
      </w:r>
      <w:r>
        <w:rPr>
          <w:rFonts w:ascii="宋体" w:hAnsi="宋体" w:eastAsia="宋体" w:cs="宋体"/>
          <w:sz w:val="24"/>
          <w:u w:val="single"/>
        </w:rPr>
        <w:t>1</w:t>
      </w:r>
      <w:r>
        <w:rPr>
          <w:rFonts w:hint="eastAsia" w:ascii="宋体" w:hAnsi="宋体" w:eastAsia="宋体" w:cs="宋体"/>
          <w:sz w:val="24"/>
        </w:rPr>
        <w:t>个合同包。投</w:t>
      </w:r>
      <w:r>
        <w:rPr>
          <w:rFonts w:hint="eastAsia" w:ascii="宋体" w:hAnsi="宋体" w:eastAsia="宋体" w:cs="Times New Roman"/>
          <w:color w:val="000000"/>
          <w:sz w:val="24"/>
        </w:rPr>
        <w:t>标人对所投包的采购内容必须全投，否则其投标无效。</w:t>
      </w:r>
    </w:p>
    <w:p>
      <w:pPr>
        <w:widowControl/>
        <w:shd w:val="clear" w:color="auto" w:fill="FFFFFF"/>
        <w:spacing w:line="560" w:lineRule="atLeast"/>
        <w:ind w:firstLine="480"/>
        <w:jc w:val="left"/>
        <w:rPr>
          <w:rFonts w:ascii="Arial" w:hAnsi="Arial" w:eastAsia="宋体" w:cs="Arial"/>
          <w:kern w:val="0"/>
          <w:sz w:val="24"/>
        </w:rPr>
      </w:pPr>
      <w:r>
        <w:rPr>
          <w:rFonts w:hint="eastAsia" w:ascii="宋体" w:hAnsi="宋体" w:eastAsia="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eastAsia="宋体" w:cs="Arial"/>
          <w:kern w:val="0"/>
          <w:sz w:val="24"/>
        </w:rPr>
      </w:pPr>
      <w:r>
        <w:rPr>
          <w:rFonts w:hint="eastAsia" w:ascii="宋体" w:hAnsi="宋体" w:eastAsia="宋体" w:cs="Lucida Sans Unicode"/>
          <w:sz w:val="24"/>
        </w:rPr>
        <w:t>供应商必须是中国境内合法注册并具有独立企业法人资格</w:t>
      </w:r>
      <w:r>
        <w:rPr>
          <w:rFonts w:hint="eastAsia" w:ascii="宋体" w:hAnsi="宋体" w:eastAsia="宋体" w:cs="Arial"/>
          <w:kern w:val="0"/>
          <w:sz w:val="24"/>
        </w:rPr>
        <w:t>。</w:t>
      </w:r>
    </w:p>
    <w:p>
      <w:pPr>
        <w:widowControl/>
        <w:numPr>
          <w:ilvl w:val="0"/>
          <w:numId w:val="2"/>
        </w:numPr>
        <w:shd w:val="clear" w:color="auto" w:fill="FFFFFF"/>
        <w:spacing w:line="560" w:lineRule="atLeast"/>
        <w:jc w:val="left"/>
        <w:rPr>
          <w:rFonts w:ascii="宋体" w:hAnsi="宋体" w:eastAsia="宋体" w:cs="Arial"/>
          <w:kern w:val="0"/>
          <w:sz w:val="24"/>
        </w:rPr>
      </w:pPr>
      <w:r>
        <w:rPr>
          <w:rFonts w:hint="eastAsia" w:ascii="宋体" w:hAnsi="宋体" w:eastAsia="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eastAsia="宋体" w:cs="Arial"/>
          <w:kern w:val="0"/>
          <w:sz w:val="24"/>
        </w:rPr>
      </w:pPr>
      <w:r>
        <w:rPr>
          <w:rFonts w:hint="eastAsia" w:ascii="宋体" w:hAnsi="宋体" w:eastAsia="宋体" w:cs="Arial"/>
          <w:kern w:val="0"/>
          <w:sz w:val="24"/>
        </w:rPr>
        <w:t>供货商须有建筑总承包3级或以上资质，需有安全员。</w:t>
      </w:r>
    </w:p>
    <w:p>
      <w:pPr>
        <w:widowControl/>
        <w:numPr>
          <w:ilvl w:val="0"/>
          <w:numId w:val="2"/>
        </w:numPr>
        <w:shd w:val="clear" w:color="auto" w:fill="FFFFFF"/>
        <w:spacing w:line="560" w:lineRule="atLeast"/>
        <w:jc w:val="left"/>
        <w:rPr>
          <w:rFonts w:ascii="宋体" w:hAnsi="宋体" w:eastAsia="宋体" w:cs="Arial"/>
          <w:kern w:val="0"/>
          <w:sz w:val="24"/>
        </w:rPr>
      </w:pPr>
      <w:r>
        <w:rPr>
          <w:rFonts w:hint="eastAsia" w:ascii="宋体" w:hAnsi="宋体" w:eastAsia="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eastAsia="宋体" w:cs="Arial"/>
          <w:kern w:val="0"/>
          <w:sz w:val="24"/>
        </w:rPr>
      </w:pPr>
      <w:r>
        <w:rPr>
          <w:rFonts w:hint="eastAsia" w:ascii="宋体" w:hAnsi="宋体" w:eastAsia="宋体" w:cs="Arial"/>
          <w:kern w:val="0"/>
          <w:sz w:val="24"/>
        </w:rPr>
        <w:t>本项目不允许联合体投标。</w:t>
      </w:r>
    </w:p>
    <w:p>
      <w:pPr>
        <w:widowControl/>
        <w:shd w:val="clear" w:color="auto" w:fill="FFFFFF"/>
        <w:spacing w:line="560" w:lineRule="atLeast"/>
        <w:ind w:firstLine="480"/>
        <w:jc w:val="left"/>
        <w:rPr>
          <w:rFonts w:ascii="宋体" w:hAnsi="宋体" w:eastAsia="宋体" w:cs="Arial"/>
          <w:b/>
          <w:bCs/>
          <w:kern w:val="0"/>
          <w:sz w:val="24"/>
        </w:rPr>
      </w:pPr>
      <w:r>
        <w:rPr>
          <w:rFonts w:hint="eastAsia" w:ascii="宋体" w:hAnsi="宋体" w:eastAsia="宋体" w:cs="Arial"/>
          <w:b/>
          <w:bCs/>
          <w:kern w:val="0"/>
          <w:sz w:val="24"/>
        </w:rPr>
        <w:t>三、获得采购文件的时间及方式</w:t>
      </w:r>
    </w:p>
    <w:p>
      <w:pPr>
        <w:widowControl/>
        <w:shd w:val="clear" w:color="auto" w:fill="FFFFFF"/>
        <w:spacing w:line="560" w:lineRule="atLeast"/>
        <w:ind w:firstLine="480"/>
        <w:jc w:val="left"/>
        <w:rPr>
          <w:rFonts w:ascii="宋体" w:hAnsi="宋体" w:eastAsia="宋体" w:cs="Times New Roman"/>
          <w:b/>
          <w:sz w:val="24"/>
        </w:rPr>
      </w:pPr>
      <w:r>
        <w:rPr>
          <w:rFonts w:hint="eastAsia" w:ascii="宋体" w:hAnsi="宋体" w:eastAsia="宋体" w:cs="Times New Roman"/>
          <w:sz w:val="24"/>
        </w:rPr>
        <w:t>即日起</w:t>
      </w:r>
      <w:r>
        <w:rPr>
          <w:rFonts w:hint="eastAsia" w:ascii="宋体" w:hAnsi="宋体"/>
          <w:sz w:val="24"/>
          <w:lang w:val="en-US" w:eastAsia="zh-CN"/>
        </w:rPr>
        <w:t xml:space="preserve"> </w:t>
      </w:r>
      <w:r>
        <w:rPr>
          <w:rFonts w:ascii="宋体" w:hAnsi="宋体"/>
          <w:color w:val="auto"/>
          <w:sz w:val="24"/>
          <w:u w:val="single" w:color="auto"/>
        </w:rPr>
        <w:t>2022</w:t>
      </w:r>
      <w:r>
        <w:rPr>
          <w:rFonts w:hint="eastAsia" w:ascii="宋体" w:hAnsi="宋体"/>
          <w:color w:val="auto"/>
          <w:sz w:val="24"/>
          <w:u w:val="single" w:color="auto"/>
          <w:lang w:val="en-US" w:eastAsia="zh-CN"/>
        </w:rPr>
        <w:t xml:space="preserve"> </w:t>
      </w:r>
      <w:r>
        <w:rPr>
          <w:rFonts w:hint="eastAsia" w:ascii="宋体" w:hAnsi="宋体"/>
          <w:color w:val="auto"/>
          <w:sz w:val="24"/>
          <w:u w:val="none" w:color="auto"/>
        </w:rPr>
        <w:t>年</w:t>
      </w:r>
      <w:r>
        <w:rPr>
          <w:rFonts w:hint="eastAsia" w:ascii="宋体" w:hAnsi="宋体"/>
          <w:color w:val="auto"/>
          <w:sz w:val="24"/>
          <w:u w:val="single" w:color="auto"/>
          <w:lang w:val="en-US" w:eastAsia="zh-CN"/>
        </w:rPr>
        <w:t xml:space="preserve"> </w:t>
      </w:r>
      <w:r>
        <w:rPr>
          <w:rFonts w:ascii="宋体" w:hAnsi="宋体"/>
          <w:color w:val="auto"/>
          <w:sz w:val="24"/>
          <w:u w:val="single" w:color="auto"/>
        </w:rPr>
        <w:t>7</w:t>
      </w:r>
      <w:r>
        <w:rPr>
          <w:rFonts w:hint="eastAsia" w:ascii="宋体" w:hAnsi="宋体"/>
          <w:color w:val="auto"/>
          <w:sz w:val="24"/>
          <w:u w:val="none" w:color="auto"/>
          <w:lang w:val="en-US" w:eastAsia="zh-CN"/>
        </w:rPr>
        <w:t xml:space="preserve"> </w:t>
      </w:r>
      <w:r>
        <w:rPr>
          <w:rFonts w:hint="eastAsia" w:ascii="宋体" w:hAnsi="宋体"/>
          <w:color w:val="auto"/>
          <w:sz w:val="24"/>
          <w:u w:val="none" w:color="auto"/>
        </w:rPr>
        <w:t>月</w:t>
      </w:r>
      <w:r>
        <w:rPr>
          <w:rFonts w:hint="eastAsia" w:ascii="宋体" w:hAnsi="宋体"/>
          <w:color w:val="auto"/>
          <w:sz w:val="24"/>
          <w:u w:val="single" w:color="auto"/>
          <w:lang w:val="en-US" w:eastAsia="zh-CN"/>
        </w:rPr>
        <w:t xml:space="preserve"> 12 </w:t>
      </w:r>
      <w:r>
        <w:rPr>
          <w:rFonts w:hint="eastAsia" w:ascii="宋体" w:hAnsi="宋体"/>
          <w:color w:val="auto"/>
          <w:sz w:val="24"/>
          <w:u w:val="none" w:color="auto"/>
        </w:rPr>
        <w:t>日</w:t>
      </w:r>
      <w:r>
        <w:rPr>
          <w:rFonts w:hint="eastAsia" w:ascii="宋体" w:hAnsi="宋体"/>
          <w:color w:val="auto"/>
          <w:sz w:val="24"/>
          <w:u w:val="single" w:color="auto"/>
          <w:lang w:val="en-US" w:eastAsia="zh-CN"/>
        </w:rPr>
        <w:t>9</w:t>
      </w:r>
      <w:r>
        <w:rPr>
          <w:rFonts w:hint="eastAsia" w:ascii="宋体" w:hAnsi="宋体"/>
          <w:color w:val="auto"/>
          <w:sz w:val="24"/>
          <w:u w:val="single" w:color="auto"/>
        </w:rPr>
        <w:t>:</w:t>
      </w:r>
      <w:r>
        <w:rPr>
          <w:rFonts w:hint="eastAsia" w:ascii="宋体" w:hAnsi="宋体"/>
          <w:color w:val="auto"/>
          <w:sz w:val="24"/>
          <w:u w:val="single" w:color="auto"/>
          <w:lang w:val="en-US" w:eastAsia="zh-CN"/>
        </w:rPr>
        <w:t>3</w:t>
      </w:r>
      <w:r>
        <w:rPr>
          <w:rFonts w:hint="eastAsia" w:ascii="宋体" w:hAnsi="宋体"/>
          <w:color w:val="auto"/>
          <w:sz w:val="24"/>
          <w:u w:val="single" w:color="auto"/>
        </w:rPr>
        <w:t>0</w:t>
      </w:r>
      <w:r>
        <w:rPr>
          <w:rFonts w:hint="eastAsia" w:ascii="宋体" w:hAnsi="宋体"/>
          <w:color w:val="FF0000"/>
          <w:sz w:val="24"/>
        </w:rPr>
        <w:t xml:space="preserve"> </w:t>
      </w:r>
      <w:r>
        <w:rPr>
          <w:rFonts w:hint="eastAsia" w:ascii="宋体" w:hAnsi="宋体" w:eastAsia="宋体" w:cs="Times New Roman"/>
          <w:sz w:val="24"/>
        </w:rPr>
        <w:t>(北京时间)开标前，</w:t>
      </w:r>
      <w:r>
        <w:rPr>
          <w:rFonts w:hint="eastAsia" w:ascii="宋体" w:hAnsi="宋体" w:eastAsia="宋体" w:cs="Times New Roman"/>
          <w:b/>
          <w:sz w:val="24"/>
        </w:rPr>
        <w:t>由本公告附件获得电子采购文件。</w:t>
      </w:r>
    </w:p>
    <w:p>
      <w:pPr>
        <w:widowControl/>
        <w:shd w:val="clear" w:color="auto" w:fill="FFFFFF"/>
        <w:spacing w:line="560" w:lineRule="atLeast"/>
        <w:ind w:firstLine="480"/>
        <w:jc w:val="left"/>
        <w:rPr>
          <w:rFonts w:ascii="宋体" w:hAnsi="宋体" w:eastAsia="宋体" w:cs="Arial"/>
          <w:b/>
          <w:bCs/>
          <w:kern w:val="0"/>
          <w:sz w:val="24"/>
        </w:rPr>
      </w:pPr>
      <w:r>
        <w:rPr>
          <w:rFonts w:hint="eastAsia" w:ascii="宋体" w:hAnsi="宋体" w:eastAsia="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r>
        <w:rPr>
          <w:rFonts w:hint="eastAsia" w:ascii="宋体" w:hAnsi="宋体" w:eastAsia="宋体" w:cs="Times New Roman"/>
          <w:sz w:val="24"/>
        </w:rPr>
        <w:t>递交投标文件截止及开标时间：</w:t>
      </w:r>
      <w:r>
        <w:rPr>
          <w:rFonts w:hint="eastAsia" w:ascii="宋体" w:hAnsi="宋体" w:eastAsia="宋体" w:cs="Times New Roman"/>
          <w:color w:val="auto"/>
          <w:sz w:val="24"/>
          <w:u w:val="single" w:color="auto"/>
        </w:rPr>
        <w:t>202</w:t>
      </w:r>
      <w:r>
        <w:rPr>
          <w:rFonts w:ascii="宋体" w:hAnsi="宋体" w:eastAsia="宋体" w:cs="Times New Roman"/>
          <w:color w:val="auto"/>
          <w:sz w:val="24"/>
          <w:u w:val="single" w:color="auto"/>
        </w:rPr>
        <w:t>2</w:t>
      </w:r>
      <w:r>
        <w:rPr>
          <w:rFonts w:hint="eastAsia" w:ascii="宋体" w:hAnsi="宋体" w:eastAsia="宋体" w:cs="Times New Roman"/>
          <w:color w:val="auto"/>
          <w:sz w:val="24"/>
          <w:u w:val="single" w:color="auto"/>
        </w:rPr>
        <w:t>年</w:t>
      </w:r>
      <w:r>
        <w:rPr>
          <w:rFonts w:ascii="宋体" w:hAnsi="宋体" w:eastAsia="宋体" w:cs="Times New Roman"/>
          <w:color w:val="auto"/>
          <w:sz w:val="24"/>
          <w:u w:val="single" w:color="auto"/>
        </w:rPr>
        <w:t>7</w:t>
      </w:r>
      <w:r>
        <w:rPr>
          <w:rFonts w:hint="eastAsia" w:ascii="宋体" w:hAnsi="宋体" w:eastAsia="宋体" w:cs="Times New Roman"/>
          <w:color w:val="auto"/>
          <w:sz w:val="24"/>
          <w:u w:val="single" w:color="auto"/>
        </w:rPr>
        <w:t>月</w:t>
      </w:r>
      <w:r>
        <w:rPr>
          <w:rFonts w:hint="eastAsia" w:ascii="宋体" w:hAnsi="宋体" w:eastAsia="宋体" w:cs="Times New Roman"/>
          <w:color w:val="auto"/>
          <w:sz w:val="24"/>
          <w:u w:val="single" w:color="auto"/>
          <w:lang w:val="en-US" w:eastAsia="zh-CN"/>
        </w:rPr>
        <w:t>12</w:t>
      </w:r>
      <w:r>
        <w:rPr>
          <w:rFonts w:hint="eastAsia" w:ascii="宋体" w:hAnsi="宋体" w:eastAsia="宋体" w:cs="Times New Roman"/>
          <w:color w:val="auto"/>
          <w:sz w:val="24"/>
          <w:u w:val="single" w:color="auto"/>
        </w:rPr>
        <w:t>日</w:t>
      </w:r>
      <w:r>
        <w:rPr>
          <w:rFonts w:hint="eastAsia" w:ascii="宋体" w:hAnsi="宋体" w:eastAsia="宋体" w:cs="Times New Roman"/>
          <w:color w:val="auto"/>
          <w:sz w:val="24"/>
          <w:u w:val="single" w:color="auto"/>
          <w:lang w:val="en-US" w:eastAsia="zh-CN"/>
        </w:rPr>
        <w:t>9</w:t>
      </w:r>
      <w:r>
        <w:rPr>
          <w:rFonts w:hint="eastAsia" w:ascii="宋体" w:hAnsi="宋体" w:eastAsia="宋体" w:cs="Times New Roman"/>
          <w:color w:val="auto"/>
          <w:sz w:val="24"/>
          <w:u w:val="single" w:color="auto"/>
        </w:rPr>
        <w:t>:</w:t>
      </w:r>
      <w:r>
        <w:rPr>
          <w:rFonts w:hint="eastAsia" w:ascii="宋体" w:hAnsi="宋体" w:eastAsia="宋体" w:cs="Times New Roman"/>
          <w:color w:val="auto"/>
          <w:sz w:val="24"/>
          <w:u w:val="single" w:color="auto"/>
          <w:lang w:val="en-US" w:eastAsia="zh-CN"/>
        </w:rPr>
        <w:t>30</w:t>
      </w:r>
      <w:r>
        <w:rPr>
          <w:rFonts w:hint="eastAsia" w:ascii="宋体" w:hAnsi="宋体" w:eastAsia="宋体" w:cs="Times New Roman"/>
          <w:sz w:val="24"/>
          <w:u w:val="single" w:color="000000"/>
        </w:rPr>
        <w:t xml:space="preserve"> </w:t>
      </w:r>
      <w:r>
        <w:rPr>
          <w:rFonts w:hint="eastAsia" w:ascii="宋体" w:hAnsi="宋体" w:eastAsia="宋体" w:cs="Times New Roman"/>
          <w:sz w:val="24"/>
        </w:rPr>
        <w:t>(北京时间)；递交投标文件及开标地点：</w:t>
      </w:r>
      <w:r>
        <w:rPr>
          <w:rFonts w:hint="eastAsia" w:ascii="宋体" w:hAnsi="宋体"/>
          <w:sz w:val="24"/>
        </w:rPr>
        <w:t>辽宁城市建设职业技术学院（沈阳市沈北新区虎石台开发区蒲硕路88号）图书馆四楼第二会议室，届时请投标人的法定代表人或其授权代表按时参加开标会议。</w:t>
      </w:r>
      <w:bookmarkStart w:id="1" w:name="_GoBack"/>
      <w:bookmarkEnd w:id="1"/>
      <w:r>
        <w:rPr>
          <w:rFonts w:hint="eastAsia" w:ascii="宋体" w:hAnsi="宋体" w:eastAsia="宋体" w:cs="Times New Roman"/>
          <w:sz w:val="24"/>
        </w:rPr>
        <w:t>（</w:t>
      </w:r>
      <w:r>
        <w:rPr>
          <w:rFonts w:hint="eastAsia" w:ascii="宋体" w:hAnsi="宋体" w:eastAsia="宋体" w:cs="Times New Roman"/>
          <w:b/>
          <w:bCs/>
          <w:sz w:val="24"/>
        </w:rPr>
        <w:t>按沈阳疫情防控相关要求参加会议。14天内无出沈记录，提供</w:t>
      </w:r>
      <w:r>
        <w:rPr>
          <w:rFonts w:hint="eastAsia" w:ascii="宋体" w:hAnsi="宋体" w:eastAsia="宋体" w:cs="Times New Roman"/>
          <w:b/>
          <w:bCs/>
          <w:sz w:val="24"/>
          <w:lang w:val="en-US" w:eastAsia="zh-CN"/>
        </w:rPr>
        <w:t>72</w:t>
      </w:r>
      <w:r>
        <w:rPr>
          <w:rFonts w:hint="eastAsia" w:ascii="宋体" w:hAnsi="宋体" w:eastAsia="宋体" w:cs="Times New Roman"/>
          <w:b/>
          <w:bCs/>
          <w:sz w:val="24"/>
        </w:rPr>
        <w:t>小时核酸检测阴性报告</w:t>
      </w:r>
      <w:r>
        <w:rPr>
          <w:rFonts w:hint="eastAsia" w:ascii="宋体" w:hAnsi="宋体" w:eastAsia="宋体" w:cs="Times New Roman"/>
          <w:sz w:val="24"/>
        </w:rPr>
        <w:t>）</w:t>
      </w:r>
    </w:p>
    <w:p>
      <w:pPr>
        <w:widowControl/>
        <w:shd w:val="clear" w:color="auto" w:fill="FFFFFF"/>
        <w:spacing w:line="560" w:lineRule="atLeast"/>
        <w:ind w:firstLine="480"/>
        <w:jc w:val="left"/>
        <w:rPr>
          <w:rFonts w:ascii="宋体" w:hAnsi="宋体" w:eastAsia="宋体" w:cs="Times New Roman"/>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eastAsia="宋体" w:cs="Times New Roman"/>
          <w:sz w:val="24"/>
          <w:lang w:val="en-US" w:eastAsia="zh-CN"/>
        </w:rPr>
        <w:t>后勤处</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eastAsia="宋体" w:cs="Times New Roman"/>
          <w:sz w:val="24"/>
          <w:lang w:val="en-US" w:eastAsia="zh-CN"/>
        </w:rPr>
        <w:t>郭鲲</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eastAsia="宋体" w:cs="Times New Roman"/>
          <w:sz w:val="24"/>
          <w:lang w:val="en-US" w:eastAsia="zh-CN"/>
        </w:rPr>
        <w:t>13940467746</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eastAsia="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pacing w:line="360" w:lineRule="auto"/>
        <w:rPr>
          <w:rFonts w:ascii="宋体" w:hAnsi="宋体" w:eastAsia="宋体" w:cs="Arial"/>
          <w:b/>
          <w:bCs/>
          <w:kern w:val="0"/>
          <w:sz w:val="24"/>
        </w:rPr>
      </w:pPr>
    </w:p>
    <w:p>
      <w:pPr>
        <w:spacing w:line="360" w:lineRule="auto"/>
        <w:rPr>
          <w:rFonts w:ascii="宋体" w:hAnsi="宋体" w:eastAsia="宋体" w:cs="Lucida Sans Unicode"/>
          <w:sz w:val="24"/>
        </w:rPr>
      </w:pPr>
      <w:r>
        <w:rPr>
          <w:rFonts w:hint="eastAsia" w:ascii="宋体" w:hAnsi="宋体" w:eastAsia="宋体" w:cs="Arial"/>
          <w:kern w:val="0"/>
          <w:sz w:val="24"/>
        </w:rPr>
        <w:t>附件：</w:t>
      </w:r>
      <w:r>
        <w:rPr>
          <w:rFonts w:hint="eastAsia" w:ascii="宋体" w:hAnsi="宋体" w:eastAsia="宋体" w:cs="Times New Roman"/>
          <w:color w:val="000000"/>
          <w:sz w:val="24"/>
          <w:u w:val="single"/>
        </w:rPr>
        <w:t>2022年运动场及篮球场照明设备安装项目</w:t>
      </w:r>
      <w:r>
        <w:rPr>
          <w:rFonts w:hint="eastAsia" w:ascii="宋体" w:hAnsi="宋体" w:eastAsia="宋体" w:cs="Lucida Sans Unicode"/>
          <w:sz w:val="24"/>
        </w:rPr>
        <w:t>采购文件</w:t>
      </w: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pacing w:line="360" w:lineRule="auto"/>
        <w:rPr>
          <w:rFonts w:ascii="宋体" w:hAnsi="宋体" w:cs="Arial"/>
          <w:b/>
          <w:bCs/>
          <w:kern w:val="0"/>
          <w:sz w:val="24"/>
        </w:rPr>
      </w:pPr>
      <w:r>
        <w:rPr>
          <w:rFonts w:hint="eastAsia" w:ascii="宋体" w:hAnsi="宋体" w:eastAsia="宋体" w:cs="Lucida Sans Unicode"/>
          <w:sz w:val="24"/>
        </w:rPr>
        <w:t xml:space="preserve">                                               </w:t>
      </w:r>
      <w:r>
        <w:rPr>
          <w:rFonts w:ascii="宋体" w:hAnsi="宋体" w:eastAsia="宋体" w:cs="Lucida Sans Unicode"/>
          <w:sz w:val="24"/>
        </w:rPr>
        <w:t>2022</w:t>
      </w:r>
      <w:r>
        <w:rPr>
          <w:rFonts w:hint="eastAsia" w:ascii="宋体" w:hAnsi="宋体" w:eastAsia="宋体" w:cs="Lucida Sans Unicode"/>
          <w:sz w:val="24"/>
        </w:rPr>
        <w:t>年</w:t>
      </w:r>
      <w:r>
        <w:rPr>
          <w:rFonts w:hint="eastAsia" w:ascii="宋体" w:hAnsi="宋体" w:eastAsia="宋体" w:cs="Lucida Sans Unicode"/>
          <w:sz w:val="24"/>
          <w:lang w:val="en-US" w:eastAsia="zh-CN"/>
        </w:rPr>
        <w:t>7</w:t>
      </w:r>
      <w:r>
        <w:rPr>
          <w:rFonts w:hint="eastAsia" w:ascii="宋体" w:hAnsi="宋体" w:eastAsia="宋体" w:cs="Lucida Sans Unicode"/>
          <w:sz w:val="24"/>
        </w:rPr>
        <w:t xml:space="preserve">月 </w:t>
      </w:r>
      <w:r>
        <w:rPr>
          <w:rFonts w:hint="eastAsia" w:ascii="宋体" w:hAnsi="宋体" w:eastAsia="宋体" w:cs="Lucida Sans Unicode"/>
          <w:sz w:val="24"/>
          <w:lang w:val="en-US" w:eastAsia="zh-CN"/>
        </w:rPr>
        <w:t>7</w:t>
      </w:r>
      <w:r>
        <w:rPr>
          <w:rFonts w:hint="eastAsia" w:ascii="宋体" w:hAnsi="宋体" w:eastAsia="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s="Lucida Sans Unicode"/>
                <w:sz w:val="24"/>
              </w:rPr>
              <w:t>2022年运动场及篮球场照明设备安装</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本项目不</w:t>
            </w:r>
            <w:r>
              <w:rPr>
                <w:rFonts w:ascii="仿宋_GB2312" w:hAnsi="宋体" w:eastAsia="仿宋_GB2312"/>
                <w:kern w:val="0"/>
                <w:szCs w:val="21"/>
              </w:rPr>
              <w:t>组织</w:t>
            </w:r>
            <w:r>
              <w:rPr>
                <w:rFonts w:hint="eastAsia" w:ascii="仿宋_GB2312" w:hAnsi="宋体" w:eastAsia="仿宋_GB2312"/>
                <w:kern w:val="0"/>
                <w:szCs w:val="21"/>
              </w:rPr>
              <w:t>现场踏勘或标前答疑会，供应商自行踏勘</w:t>
            </w:r>
          </w:p>
          <w:p>
            <w:pPr>
              <w:widowControl/>
              <w:spacing w:line="240" w:lineRule="exact"/>
              <w:ind w:left="-107" w:leftChars="-51" w:firstLine="94" w:firstLineChars="45"/>
              <w:rPr>
                <w:rFonts w:ascii="仿宋_GB2312" w:hAnsi="宋体" w:eastAsia="仿宋_GB2312" w:cs="宋体"/>
                <w:kern w:val="0"/>
                <w:szCs w:val="21"/>
              </w:rPr>
            </w:pPr>
            <w:r>
              <w:rPr>
                <w:rFonts w:hint="eastAsia" w:ascii="仿宋_GB2312" w:hAnsi="宋体" w:eastAsia="仿宋_GB2312" w:cs="宋体"/>
                <w:kern w:val="0"/>
                <w:szCs w:val="21"/>
              </w:rPr>
              <w:t>地  点：辽宁城市建设职业技术学院后勤处</w:t>
            </w:r>
          </w:p>
          <w:p>
            <w:pPr>
              <w:spacing w:line="240" w:lineRule="exact"/>
              <w:rPr>
                <w:rFonts w:ascii="仿宋_GB2312" w:hAnsi="宋体" w:eastAsia="仿宋_GB2312" w:cs="宋体"/>
                <w:kern w:val="0"/>
                <w:szCs w:val="21"/>
              </w:rPr>
            </w:pPr>
            <w:r>
              <w:rPr>
                <w:rFonts w:hint="eastAsia" w:ascii="仿宋_GB2312" w:hAnsi="宋体" w:eastAsia="仿宋_GB2312" w:cs="宋体"/>
                <w:kern w:val="0"/>
                <w:szCs w:val="21"/>
              </w:rPr>
              <w:t>联系人： 王海全</w:t>
            </w:r>
          </w:p>
          <w:p>
            <w:pPr>
              <w:spacing w:line="240" w:lineRule="exact"/>
              <w:rPr>
                <w:rFonts w:ascii="仿宋_GB2312" w:hAnsi="宋体" w:eastAsia="仿宋_GB2312"/>
                <w:color w:val="FF0000"/>
                <w:kern w:val="0"/>
                <w:szCs w:val="21"/>
              </w:rPr>
            </w:pPr>
            <w:r>
              <w:rPr>
                <w:rFonts w:hint="eastAsia" w:ascii="仿宋_GB2312" w:hAnsi="宋体" w:eastAsia="仿宋_GB2312" w:cs="宋体"/>
                <w:kern w:val="0"/>
                <w:szCs w:val="21"/>
              </w:rPr>
              <w:t>联系电话：13478866917</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lang w:val="en-US" w:eastAsia="zh-CN"/>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宋体" w:hAnsi="宋体" w:cs="Lucida Sans Unicode"/>
          <w:b/>
          <w:sz w:val="32"/>
          <w:szCs w:val="32"/>
        </w:rPr>
      </w:pPr>
      <w:r>
        <w:rPr>
          <w:rFonts w:ascii="宋体" w:hAnsi="宋体" w:cs="Lucida Sans Unicode"/>
          <w:b/>
          <w:sz w:val="32"/>
          <w:szCs w:val="32"/>
        </w:rPr>
        <w:br w:type="page"/>
      </w:r>
    </w:p>
    <w:p>
      <w:pPr>
        <w:rPr>
          <w:rFonts w:asciiTheme="majorEastAsia" w:hAnsiTheme="majorEastAsia" w:eastAsiaTheme="majorEastAsia"/>
          <w:b/>
          <w:sz w:val="28"/>
        </w:rPr>
      </w:pP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rPr>
              <w:t>2022年运动场及篮球场照明设备安装</w:t>
            </w:r>
          </w:p>
        </w:tc>
        <w:tc>
          <w:tcPr>
            <w:tcW w:w="2127"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61000</w:t>
            </w:r>
            <w:r>
              <w:rPr>
                <w:rFonts w:asciiTheme="minorEastAsia" w:hAnsiTheme="minorEastAsia" w:eastAsiaTheme="minorEastAsia"/>
                <w:sz w:val="21"/>
                <w:szCs w:val="21"/>
              </w:rPr>
              <w:t>.00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建筑总承包3级或以上资质（</w:t>
            </w:r>
            <w:r>
              <w:rPr>
                <w:rFonts w:hint="eastAsia" w:ascii="宋体" w:hAnsi="宋体"/>
                <w:color w:val="FF0000"/>
                <w:szCs w:val="21"/>
              </w:rPr>
              <w:t>投标文件中附复印件，原件开标时备查</w:t>
            </w:r>
            <w:r>
              <w:rPr>
                <w:rFonts w:hint="eastAsia" w:ascii="宋体" w:hAnsi="宋体"/>
                <w:color w:val="000000" w:themeColor="text1"/>
                <w:szCs w:val="21"/>
                <w14:textFill>
                  <w14:solidFill>
                    <w14:schemeClr w14:val="tx1"/>
                  </w14:solidFill>
                </w14:textFill>
              </w:rPr>
              <w:t>）</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color w:val="000000" w:themeColor="text1"/>
                <w:sz w:val="24"/>
                <w14:textFill>
                  <w14:solidFill>
                    <w14:schemeClr w14:val="tx1"/>
                  </w14:solidFill>
                </w14:textFill>
              </w:rPr>
              <w:t>工程</w:t>
            </w:r>
            <w:r>
              <w:rPr>
                <w:rFonts w:hint="eastAsia" w:ascii="宋体" w:hAnsi="宋体"/>
                <w:b/>
                <w:sz w:val="24"/>
              </w:rPr>
              <w:t>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分包产品名称：2022年运动场及篮球场照明设备安装项目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cs="Courier New"/>
                <w:szCs w:val="21"/>
              </w:rPr>
              <w:t>工期30天（具体开工时间以签订合同双方约定为准）</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rPr>
                <w:rFonts w:hint="eastAsia" w:ascii="仿宋_GB2312" w:hAnsi="宋体" w:eastAsia="仿宋_GB2312"/>
                <w:szCs w:val="21"/>
              </w:rPr>
            </w:pPr>
            <w:r>
              <w:rPr>
                <w:rFonts w:hint="eastAsia" w:ascii="仿宋_GB2312" w:hAnsi="宋体" w:eastAsia="仿宋_GB2312"/>
                <w:szCs w:val="21"/>
              </w:rPr>
              <w:t>采购方发布中标公示后，施工方应在5个工作日内交付中标金额的5%作为履约保证金。双方签订合同前收取，验收合格一年内无质量问题返还（无息）。</w:t>
            </w:r>
          </w:p>
          <w:p>
            <w:pPr>
              <w:rPr>
                <w:rFonts w:ascii="仿宋_GB2312" w:hAnsi="宋体" w:eastAsia="仿宋_GB2312"/>
                <w:szCs w:val="21"/>
              </w:rPr>
            </w:pPr>
            <w:r>
              <w:rPr>
                <w:rFonts w:hint="eastAsia" w:ascii="仿宋_GB2312" w:hAnsi="宋体" w:eastAsia="仿宋_GB2312"/>
                <w:szCs w:val="21"/>
              </w:rPr>
              <w:t xml:space="preserve">工程项目施工完毕后，经采购方验收合格和结算审计（学院《建设和修缮工程管理审计实施办法（试行）》）后，施工方开具结算审计金额发票，采购方完成支付。  </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9"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45"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不少于（1）年</w:t>
            </w:r>
          </w:p>
        </w:tc>
        <w:tc>
          <w:tcPr>
            <w:tcW w:w="1418"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9"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上门免费服务，终身维修，提供配件：</w:t>
            </w:r>
          </w:p>
        </w:tc>
        <w:tc>
          <w:tcPr>
            <w:tcW w:w="5245"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 xml:space="preserve"> ）年</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名称：2022年运动场及篮球场照明设备安装项目</w:t>
            </w:r>
          </w:p>
          <w:p>
            <w:pPr>
              <w:pStyle w:val="15"/>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数量：泛光照明灯12个及安装</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产品的主要用途、功能以及特点（提示：供报价供应商选择产品时参考）：用于学院运动场及篮球场照明设备安装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rFonts w:ascii="仿宋_GB2312" w:hAnsi="宋体" w:eastAsia="仿宋_GB2312" w:cs="Arial"/>
                <w:color w:val="000000"/>
                <w:szCs w:val="21"/>
              </w:rPr>
            </w:pPr>
            <w:r>
              <w:rPr>
                <w:rFonts w:hint="eastAsia" w:ascii="仿宋_GB2312" w:hAnsi="宋体" w:eastAsia="仿宋_GB2312" w:cs="Arial"/>
                <w:color w:val="000000"/>
                <w:szCs w:val="21"/>
              </w:rPr>
              <w:t>1、主电缆1</w:t>
            </w:r>
            <w:r>
              <w:rPr>
                <w:rFonts w:ascii="仿宋_GB2312" w:hAnsi="宋体" w:eastAsia="仿宋_GB2312" w:cs="Arial"/>
                <w:color w:val="000000"/>
                <w:szCs w:val="21"/>
              </w:rPr>
              <w:t>30</w:t>
            </w:r>
            <w:r>
              <w:rPr>
                <w:rFonts w:hint="eastAsia" w:ascii="仿宋_GB2312" w:hAnsi="宋体" w:eastAsia="仿宋_GB2312" w:cs="Arial"/>
                <w:color w:val="000000"/>
                <w:szCs w:val="21"/>
              </w:rPr>
              <w:t>米，带铠国标3</w:t>
            </w:r>
            <w:r>
              <w:rPr>
                <w:rFonts w:ascii="仿宋_GB2312" w:hAnsi="宋体" w:eastAsia="仿宋_GB2312" w:cs="Arial"/>
                <w:color w:val="000000"/>
                <w:szCs w:val="21"/>
              </w:rPr>
              <w:t>*25</w:t>
            </w:r>
            <w:r>
              <w:rPr>
                <w:rFonts w:hint="eastAsia" w:ascii="仿宋_GB2312" w:hAnsi="宋体" w:eastAsia="仿宋_GB2312" w:cs="Arial"/>
                <w:color w:val="000000"/>
                <w:szCs w:val="21"/>
              </w:rPr>
              <w:t>+</w:t>
            </w:r>
            <w:r>
              <w:rPr>
                <w:rFonts w:ascii="仿宋_GB2312" w:hAnsi="宋体" w:eastAsia="仿宋_GB2312" w:cs="Arial"/>
                <w:color w:val="000000"/>
                <w:szCs w:val="21"/>
              </w:rPr>
              <w:t>2*6</w:t>
            </w:r>
            <w:r>
              <w:rPr>
                <w:rFonts w:hint="eastAsia" w:ascii="仿宋_GB2312" w:hAnsi="宋体" w:eastAsia="仿宋_GB2312" w:cs="Arial"/>
                <w:color w:val="000000"/>
                <w:szCs w:val="21"/>
              </w:rPr>
              <w:t>（2</w:t>
            </w:r>
            <w:r>
              <w:rPr>
                <w:rFonts w:ascii="仿宋_GB2312" w:hAnsi="宋体" w:eastAsia="仿宋_GB2312" w:cs="Arial"/>
                <w:color w:val="000000"/>
                <w:szCs w:val="21"/>
              </w:rPr>
              <w:t>5</w:t>
            </w:r>
            <w:r>
              <w:rPr>
                <w:rFonts w:hint="eastAsia" w:ascii="仿宋_GB2312" w:hAnsi="宋体" w:eastAsia="仿宋_GB2312" w:cs="Arial"/>
                <w:color w:val="000000"/>
                <w:szCs w:val="21"/>
              </w:rPr>
              <w:t>平方）电缆；</w:t>
            </w:r>
          </w:p>
          <w:p>
            <w:pPr>
              <w:ind w:firstLine="420" w:firstLineChars="200"/>
              <w:rPr>
                <w:rFonts w:ascii="仿宋_GB2312" w:hAnsi="宋体" w:eastAsia="仿宋_GB2312" w:cs="Arial"/>
                <w:color w:val="000000"/>
                <w:szCs w:val="21"/>
              </w:rPr>
            </w:pPr>
            <w:r>
              <w:rPr>
                <w:rFonts w:hint="eastAsia" w:ascii="仿宋_GB2312" w:hAnsi="宋体" w:eastAsia="仿宋_GB2312" w:cs="Arial"/>
                <w:color w:val="000000"/>
                <w:szCs w:val="21"/>
              </w:rPr>
              <w:t>电缆1</w:t>
            </w:r>
            <w:r>
              <w:rPr>
                <w:rFonts w:ascii="仿宋_GB2312" w:hAnsi="宋体" w:eastAsia="仿宋_GB2312" w:cs="Arial"/>
                <w:color w:val="000000"/>
                <w:szCs w:val="21"/>
              </w:rPr>
              <w:t>36</w:t>
            </w:r>
            <w:r>
              <w:rPr>
                <w:rFonts w:hint="eastAsia" w:ascii="仿宋_GB2312" w:hAnsi="宋体" w:eastAsia="仿宋_GB2312" w:cs="Arial"/>
                <w:color w:val="000000"/>
                <w:szCs w:val="21"/>
              </w:rPr>
              <w:t>米，国标3</w:t>
            </w:r>
            <w:r>
              <w:rPr>
                <w:rFonts w:ascii="仿宋_GB2312" w:hAnsi="宋体" w:eastAsia="仿宋_GB2312" w:cs="Arial"/>
                <w:color w:val="000000"/>
                <w:szCs w:val="21"/>
              </w:rPr>
              <w:t>*4</w:t>
            </w:r>
            <w:r>
              <w:rPr>
                <w:rFonts w:hint="eastAsia" w:ascii="仿宋_GB2312" w:hAnsi="宋体" w:eastAsia="仿宋_GB2312" w:cs="Arial"/>
                <w:color w:val="000000"/>
                <w:szCs w:val="21"/>
              </w:rPr>
              <w:t>+</w:t>
            </w:r>
            <w:r>
              <w:rPr>
                <w:rFonts w:ascii="仿宋_GB2312" w:hAnsi="宋体" w:eastAsia="仿宋_GB2312" w:cs="Arial"/>
                <w:color w:val="000000"/>
                <w:szCs w:val="21"/>
              </w:rPr>
              <w:t>1*2.5</w:t>
            </w:r>
            <w:r>
              <w:rPr>
                <w:rFonts w:hint="eastAsia" w:ascii="仿宋_GB2312" w:hAnsi="宋体" w:eastAsia="仿宋_GB2312" w:cs="Arial"/>
                <w:color w:val="000000"/>
                <w:szCs w:val="21"/>
              </w:rPr>
              <w:t>（4平方）；</w:t>
            </w:r>
          </w:p>
          <w:p>
            <w:pPr>
              <w:ind w:firstLine="420" w:firstLineChars="200"/>
              <w:rPr>
                <w:rFonts w:ascii="仿宋_GB2312" w:hAnsi="宋体" w:eastAsia="仿宋_GB2312" w:cs="Arial"/>
                <w:color w:val="000000"/>
                <w:szCs w:val="21"/>
              </w:rPr>
            </w:pPr>
            <w:r>
              <w:rPr>
                <w:rFonts w:hint="eastAsia" w:ascii="仿宋_GB2312" w:hAnsi="宋体" w:eastAsia="仿宋_GB2312" w:cs="Arial"/>
                <w:color w:val="000000"/>
                <w:szCs w:val="21"/>
              </w:rPr>
              <w:t>防水自控配电箱1套；</w:t>
            </w:r>
          </w:p>
          <w:p>
            <w:pPr>
              <w:rPr>
                <w:rFonts w:ascii="仿宋_GB2312" w:hAnsi="宋体" w:eastAsia="仿宋_GB2312" w:cs="Arial"/>
                <w:color w:val="000000"/>
                <w:szCs w:val="21"/>
              </w:rPr>
            </w:pPr>
            <w:r>
              <w:rPr>
                <w:rFonts w:ascii="仿宋_GB2312" w:hAnsi="宋体" w:eastAsia="仿宋_GB2312" w:cs="Arial"/>
                <w:color w:val="000000"/>
                <w:szCs w:val="21"/>
              </w:rPr>
              <w:t>2</w:t>
            </w:r>
            <w:r>
              <w:rPr>
                <w:rFonts w:hint="eastAsia" w:ascii="仿宋_GB2312" w:hAnsi="宋体" w:eastAsia="仿宋_GB2312" w:cs="Arial"/>
                <w:color w:val="000000"/>
                <w:szCs w:val="21"/>
              </w:rPr>
              <w:t>、</w:t>
            </w:r>
            <w:r>
              <w:rPr>
                <w:rFonts w:ascii="仿宋_GB2312" w:hAnsi="宋体" w:eastAsia="仿宋_GB2312" w:cs="Arial"/>
                <w:color w:val="000000"/>
                <w:szCs w:val="21"/>
              </w:rPr>
              <w:t>PE</w:t>
            </w:r>
            <w:r>
              <w:rPr>
                <w:rFonts w:hint="eastAsia" w:ascii="仿宋_GB2312" w:hAnsi="宋体" w:eastAsia="仿宋_GB2312" w:cs="Arial"/>
                <w:color w:val="000000"/>
                <w:szCs w:val="21"/>
              </w:rPr>
              <w:t>管共1</w:t>
            </w:r>
            <w:r>
              <w:rPr>
                <w:rFonts w:ascii="仿宋_GB2312" w:hAnsi="宋体" w:eastAsia="仿宋_GB2312" w:cs="Arial"/>
                <w:color w:val="000000"/>
                <w:szCs w:val="21"/>
              </w:rPr>
              <w:t>36</w:t>
            </w:r>
            <w:r>
              <w:rPr>
                <w:rFonts w:hint="eastAsia" w:ascii="仿宋_GB2312" w:hAnsi="宋体" w:eastAsia="仿宋_GB2312" w:cs="Arial"/>
                <w:color w:val="000000"/>
                <w:szCs w:val="21"/>
              </w:rPr>
              <w:t>米，直径4</w:t>
            </w:r>
            <w:r>
              <w:rPr>
                <w:rFonts w:ascii="仿宋_GB2312" w:hAnsi="宋体" w:eastAsia="仿宋_GB2312" w:cs="Arial"/>
                <w:color w:val="000000"/>
                <w:szCs w:val="21"/>
              </w:rPr>
              <w:t>0mm</w:t>
            </w:r>
            <w:r>
              <w:rPr>
                <w:rFonts w:hint="eastAsia" w:ascii="仿宋_GB2312" w:hAnsi="宋体" w:eastAsia="仿宋_GB2312" w:cs="Arial"/>
                <w:color w:val="000000"/>
                <w:szCs w:val="21"/>
              </w:rPr>
              <w:t>，有重载区加设铁管；</w:t>
            </w:r>
          </w:p>
          <w:p>
            <w:pPr>
              <w:rPr>
                <w:rFonts w:ascii="仿宋_GB2312" w:hAnsi="宋体" w:eastAsia="仿宋_GB2312" w:cs="Arial"/>
                <w:color w:val="000000"/>
                <w:szCs w:val="21"/>
              </w:rPr>
            </w:pPr>
            <w:r>
              <w:rPr>
                <w:rFonts w:hint="eastAsia" w:ascii="仿宋_GB2312" w:hAnsi="宋体" w:eastAsia="仿宋_GB2312" w:cs="Arial"/>
                <w:color w:val="000000"/>
                <w:szCs w:val="21"/>
              </w:rPr>
              <w:t>3、4</w:t>
            </w:r>
            <w:r>
              <w:rPr>
                <w:rFonts w:ascii="仿宋_GB2312" w:hAnsi="宋体" w:eastAsia="仿宋_GB2312" w:cs="Arial"/>
                <w:color w:val="000000"/>
                <w:szCs w:val="21"/>
              </w:rPr>
              <w:t>00W</w:t>
            </w:r>
            <w:r>
              <w:rPr>
                <w:rFonts w:hint="eastAsia" w:ascii="仿宋_GB2312" w:hAnsi="宋体" w:eastAsia="仿宋_GB2312" w:cs="Arial"/>
                <w:color w:val="000000"/>
                <w:szCs w:val="21"/>
              </w:rPr>
              <w:t>泛光照明灯1</w:t>
            </w:r>
            <w:r>
              <w:rPr>
                <w:rFonts w:ascii="仿宋_GB2312" w:hAnsi="宋体" w:eastAsia="仿宋_GB2312" w:cs="Arial"/>
                <w:color w:val="000000"/>
                <w:szCs w:val="21"/>
              </w:rPr>
              <w:t>2</w:t>
            </w:r>
            <w:r>
              <w:rPr>
                <w:rFonts w:hint="eastAsia" w:ascii="仿宋_GB2312" w:hAnsi="宋体" w:eastAsia="仿宋_GB2312" w:cs="Arial"/>
                <w:color w:val="000000"/>
                <w:szCs w:val="21"/>
              </w:rPr>
              <w:t>台，</w:t>
            </w:r>
            <w:r>
              <w:rPr>
                <w:rFonts w:ascii="仿宋_GB2312" w:hAnsi="宋体" w:eastAsia="仿宋_GB2312" w:cs="Arial"/>
                <w:color w:val="000000"/>
                <w:szCs w:val="21"/>
              </w:rPr>
              <w:t>型号:GH-8004</w:t>
            </w:r>
            <w:r>
              <w:rPr>
                <w:rFonts w:hint="eastAsia" w:ascii="仿宋_GB2312" w:hAnsi="宋体" w:eastAsia="仿宋_GB2312" w:cs="Arial"/>
                <w:color w:val="000000"/>
                <w:szCs w:val="21"/>
              </w:rPr>
              <w:t>，</w:t>
            </w:r>
            <w:r>
              <w:rPr>
                <w:rFonts w:ascii="仿宋_GB2312" w:hAnsi="宋体" w:eastAsia="仿宋_GB2312" w:cs="Arial"/>
                <w:color w:val="000000"/>
                <w:szCs w:val="21"/>
              </w:rPr>
              <w:t>光通量:≥3750</w:t>
            </w:r>
            <w:r>
              <w:rPr>
                <w:rFonts w:hint="eastAsia" w:ascii="仿宋_GB2312" w:hAnsi="宋体" w:eastAsia="仿宋_GB2312" w:cs="Arial"/>
                <w:color w:val="000000"/>
                <w:szCs w:val="21"/>
              </w:rPr>
              <w:t>，</w:t>
            </w:r>
            <w:r>
              <w:rPr>
                <w:rFonts w:ascii="仿宋_GB2312" w:hAnsi="宋体" w:eastAsia="仿宋_GB2312" w:cs="Arial"/>
                <w:color w:val="000000"/>
                <w:szCs w:val="21"/>
              </w:rPr>
              <w:t>光源数量:1PCS</w:t>
            </w:r>
            <w:r>
              <w:rPr>
                <w:rFonts w:hint="eastAsia" w:ascii="仿宋_GB2312" w:hAnsi="宋体" w:eastAsia="仿宋_GB2312" w:cs="Arial"/>
                <w:color w:val="000000"/>
                <w:szCs w:val="21"/>
              </w:rPr>
              <w:t>，</w:t>
            </w:r>
            <w:r>
              <w:rPr>
                <w:rFonts w:ascii="仿宋_GB2312" w:hAnsi="宋体" w:eastAsia="仿宋_GB2312" w:cs="Arial"/>
                <w:color w:val="000000"/>
                <w:szCs w:val="21"/>
              </w:rPr>
              <w:t>发光角度:100°</w:t>
            </w:r>
            <w:r>
              <w:rPr>
                <w:rFonts w:hint="eastAsia" w:ascii="仿宋_GB2312" w:hAnsi="宋体" w:eastAsia="仿宋_GB2312" w:cs="Arial"/>
                <w:color w:val="000000"/>
                <w:szCs w:val="21"/>
              </w:rPr>
              <w:t>，</w:t>
            </w:r>
            <w:r>
              <w:rPr>
                <w:rFonts w:ascii="仿宋_GB2312" w:hAnsi="宋体" w:eastAsia="仿宋_GB2312" w:cs="Arial"/>
                <w:color w:val="000000"/>
                <w:szCs w:val="21"/>
              </w:rPr>
              <w:t>材料:压铸铝</w:t>
            </w:r>
            <w:r>
              <w:rPr>
                <w:rFonts w:hint="eastAsia" w:ascii="仿宋_GB2312" w:hAnsi="宋体" w:eastAsia="仿宋_GB2312" w:cs="Arial"/>
                <w:color w:val="000000"/>
                <w:szCs w:val="21"/>
              </w:rPr>
              <w:t>+</w:t>
            </w:r>
            <w:r>
              <w:rPr>
                <w:rFonts w:ascii="仿宋_GB2312" w:hAnsi="宋体" w:eastAsia="仿宋_GB2312" w:cs="Arial"/>
                <w:color w:val="000000"/>
                <w:szCs w:val="21"/>
              </w:rPr>
              <w:t>钢化玻璃</w:t>
            </w:r>
            <w:r>
              <w:rPr>
                <w:rFonts w:hint="eastAsia" w:ascii="仿宋_GB2312" w:hAnsi="宋体" w:eastAsia="仿宋_GB2312" w:cs="Arial"/>
                <w:color w:val="000000"/>
                <w:szCs w:val="21"/>
              </w:rPr>
              <w:t>，</w:t>
            </w:r>
            <w:r>
              <w:rPr>
                <w:rFonts w:ascii="仿宋_GB2312" w:hAnsi="宋体" w:eastAsia="仿宋_GB2312" w:cs="Arial"/>
                <w:color w:val="000000"/>
                <w:szCs w:val="21"/>
              </w:rPr>
              <w:t>防护等级:IP65</w:t>
            </w:r>
            <w:r>
              <w:rPr>
                <w:rFonts w:hint="eastAsia" w:ascii="仿宋_GB2312" w:hAnsi="宋体" w:eastAsia="仿宋_GB2312" w:cs="Arial"/>
                <w:color w:val="000000"/>
                <w:szCs w:val="21"/>
              </w:rPr>
              <w:t>，</w:t>
            </w:r>
            <w:r>
              <w:rPr>
                <w:rFonts w:ascii="仿宋_GB2312" w:hAnsi="宋体" w:eastAsia="仿宋_GB2312" w:cs="Arial"/>
                <w:color w:val="000000"/>
                <w:szCs w:val="21"/>
              </w:rPr>
              <w:t>产品尺寸</w:t>
            </w:r>
            <w:r>
              <w:rPr>
                <w:rFonts w:hint="eastAsia" w:ascii="仿宋_GB2312" w:hAnsi="宋体" w:eastAsia="仿宋_GB2312" w:cs="Arial"/>
                <w:color w:val="000000"/>
                <w:szCs w:val="21"/>
              </w:rPr>
              <w:t>约为（厘米）</w:t>
            </w:r>
            <w:r>
              <w:rPr>
                <w:rFonts w:ascii="仿宋_GB2312" w:hAnsi="宋体" w:eastAsia="仿宋_GB2312" w:cs="Arial"/>
                <w:color w:val="000000"/>
                <w:szCs w:val="21"/>
              </w:rPr>
              <w:t>:28.5*23.3*15.8</w:t>
            </w:r>
            <w:r>
              <w:rPr>
                <w:rFonts w:hint="eastAsia" w:ascii="仿宋_GB2312" w:hAnsi="宋体" w:eastAsia="仿宋_GB2312" w:cs="Arial"/>
                <w:color w:val="000000"/>
                <w:szCs w:val="21"/>
              </w:rPr>
              <w:t>，</w:t>
            </w:r>
            <w:r>
              <w:rPr>
                <w:rFonts w:ascii="仿宋_GB2312" w:hAnsi="宋体" w:eastAsia="仿宋_GB2312" w:cs="Arial"/>
                <w:color w:val="000000"/>
                <w:szCs w:val="21"/>
              </w:rPr>
              <w:t>色温:2500—6500K</w:t>
            </w:r>
            <w:r>
              <w:rPr>
                <w:rFonts w:hint="eastAsia" w:ascii="仿宋_GB2312" w:hAnsi="宋体" w:eastAsia="仿宋_GB2312" w:cs="Arial"/>
                <w:color w:val="000000"/>
                <w:szCs w:val="21"/>
              </w:rPr>
              <w:t>，</w:t>
            </w:r>
            <w:r>
              <w:rPr>
                <w:rFonts w:ascii="仿宋_GB2312" w:hAnsi="宋体" w:eastAsia="仿宋_GB2312" w:cs="Arial"/>
                <w:color w:val="000000"/>
                <w:szCs w:val="21"/>
              </w:rPr>
              <w:t>电压:AC100—250V</w:t>
            </w:r>
            <w:r>
              <w:rPr>
                <w:rFonts w:hint="eastAsia" w:ascii="仿宋_GB2312" w:hAnsi="宋体" w:eastAsia="仿宋_GB2312" w:cs="Arial"/>
                <w:color w:val="000000"/>
                <w:szCs w:val="21"/>
              </w:rPr>
              <w:t>，</w:t>
            </w:r>
            <w:r>
              <w:rPr>
                <w:rFonts w:ascii="仿宋_GB2312" w:hAnsi="宋体" w:eastAsia="仿宋_GB2312" w:cs="Arial"/>
                <w:color w:val="000000"/>
                <w:szCs w:val="21"/>
              </w:rPr>
              <w:t>工作温度:-30℃—+45℃</w:t>
            </w:r>
            <w:r>
              <w:rPr>
                <w:rFonts w:hint="eastAsia" w:ascii="仿宋_GB2312" w:hAnsi="宋体" w:eastAsia="仿宋_GB2312" w:cs="Arial"/>
                <w:color w:val="000000"/>
                <w:szCs w:val="21"/>
              </w:rPr>
              <w:t>；</w:t>
            </w:r>
          </w:p>
          <w:p>
            <w:pPr>
              <w:rPr>
                <w:rFonts w:ascii="仿宋_GB2312" w:hAnsi="宋体" w:eastAsia="仿宋_GB2312" w:cs="Arial"/>
                <w:color w:val="000000"/>
                <w:szCs w:val="21"/>
              </w:rPr>
            </w:pPr>
            <w:r>
              <w:rPr>
                <w:rFonts w:ascii="仿宋_GB2312" w:hAnsi="宋体" w:eastAsia="仿宋_GB2312" w:cs="Arial"/>
                <w:color w:val="000000"/>
                <w:szCs w:val="21"/>
              </w:rPr>
              <w:t>4</w:t>
            </w:r>
            <w:r>
              <w:rPr>
                <w:rFonts w:hint="eastAsia" w:ascii="仿宋_GB2312" w:hAnsi="宋体" w:eastAsia="仿宋_GB2312" w:cs="Arial"/>
                <w:color w:val="000000"/>
                <w:szCs w:val="21"/>
              </w:rPr>
              <w:t>、泛光照明灯分别安装在膜结构6个立柱顶端，每个立柱安装2台泛光灯；</w:t>
            </w:r>
          </w:p>
          <w:p>
            <w:pPr>
              <w:spacing w:line="0" w:lineRule="atLeast"/>
              <w:jc w:val="left"/>
              <w:rPr>
                <w:rFonts w:ascii="宋体" w:hAnsi="宋体" w:eastAsia="仿宋_GB2312"/>
                <w:sz w:val="18"/>
                <w:szCs w:val="18"/>
              </w:rPr>
            </w:pPr>
            <w:r>
              <w:rPr>
                <w:rFonts w:ascii="仿宋_GB2312" w:hAnsi="宋体" w:eastAsia="仿宋_GB2312" w:cs="Arial"/>
                <w:color w:val="000000"/>
                <w:szCs w:val="21"/>
              </w:rPr>
              <w:t>5</w:t>
            </w:r>
            <w:r>
              <w:rPr>
                <w:rFonts w:hint="eastAsia" w:ascii="仿宋_GB2312" w:hAnsi="宋体" w:eastAsia="仿宋_GB2312" w:cs="Arial"/>
                <w:color w:val="000000"/>
                <w:szCs w:val="21"/>
              </w:rPr>
              <w:t>、要求安装时使用有安全框及防护栏等安全措施的2</w:t>
            </w:r>
            <w:r>
              <w:rPr>
                <w:rFonts w:ascii="仿宋_GB2312" w:hAnsi="宋体" w:eastAsia="仿宋_GB2312" w:cs="Arial"/>
                <w:color w:val="000000"/>
                <w:szCs w:val="21"/>
              </w:rPr>
              <w:t>5</w:t>
            </w:r>
            <w:r>
              <w:rPr>
                <w:rFonts w:hint="eastAsia" w:ascii="仿宋_GB2312" w:hAnsi="宋体" w:eastAsia="仿宋_GB2312" w:cs="Arial"/>
                <w:color w:val="000000"/>
                <w:szCs w:val="21"/>
              </w:rPr>
              <w:t>顿吊车。</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因施工时有学生在校，施工方一定要保证学生安全，并不要影响学生正常休息，穿着整洁干净，要至少有1名安全监督员在现场。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★每天安全员安全检查记录</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7"/>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7"/>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7"/>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7"/>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7"/>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7"/>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7"/>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7"/>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7"/>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7"/>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7"/>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3</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43B"/>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2C6E"/>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C8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8A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4A66"/>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3E35D0"/>
    <w:rsid w:val="0D965F4C"/>
    <w:rsid w:val="22370D00"/>
    <w:rsid w:val="35B85524"/>
    <w:rsid w:val="508A182C"/>
    <w:rsid w:val="54A2746A"/>
    <w:rsid w:val="58A54995"/>
    <w:rsid w:val="599E224B"/>
    <w:rsid w:val="5DEA0D78"/>
    <w:rsid w:val="67964265"/>
    <w:rsid w:val="6BC25BF1"/>
    <w:rsid w:val="6D7E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semiHidden/>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6A2C"/>
    <w:rsid w:val="000D2751"/>
    <w:rsid w:val="000E1AED"/>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07AAE"/>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E0919-946B-4FD7-85EB-A3671C97728A}">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42</Pages>
  <Words>20632</Words>
  <Characters>21856</Characters>
  <Lines>169</Lines>
  <Paragraphs>47</Paragraphs>
  <TotalTime>0</TotalTime>
  <ScaleCrop>false</ScaleCrop>
  <LinksUpToDate>false</LinksUpToDate>
  <CharactersWithSpaces>23071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2022-07-07T02:26:30Z</dcterms:modified>
  <dc:title>XXX政府采购中心</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8EC1FC03E98F46FFAAA9276497439ED7</vt:lpwstr>
  </property>
</Properties>
</file>